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A63A11" w:rsidRPr="00A63A11" w:rsidTr="00A63A11">
        <w:trPr>
          <w:tblCellSpacing w:w="0" w:type="dxa"/>
        </w:trPr>
        <w:tc>
          <w:tcPr>
            <w:tcW w:w="3348" w:type="dxa"/>
            <w:tcMar>
              <w:top w:w="0" w:type="dxa"/>
              <w:left w:w="108" w:type="dxa"/>
              <w:bottom w:w="0" w:type="dxa"/>
              <w:right w:w="108" w:type="dxa"/>
            </w:tcMar>
            <w:hideMark/>
          </w:tcPr>
          <w:p w:rsidR="00A63A11" w:rsidRPr="00A63A11" w:rsidRDefault="00A63A11" w:rsidP="00A63A11">
            <w:pPr>
              <w:spacing w:before="120" w:after="100" w:afterAutospacing="1" w:line="240" w:lineRule="auto"/>
              <w:jc w:val="center"/>
              <w:rPr>
                <w:rFonts w:ascii="Times New Roman" w:eastAsia="Times New Roman" w:hAnsi="Times New Roman" w:cs="Times New Roman"/>
                <w:sz w:val="24"/>
                <w:szCs w:val="24"/>
              </w:rPr>
            </w:pPr>
            <w:r w:rsidRPr="00A63A11">
              <w:rPr>
                <w:rFonts w:ascii="Times New Roman" w:eastAsia="Times New Roman" w:hAnsi="Times New Roman" w:cs="Times New Roman"/>
                <w:b/>
                <w:bCs/>
                <w:sz w:val="24"/>
                <w:szCs w:val="24"/>
              </w:rPr>
              <w:t>BỘ GIÁO DỤC VÀ ĐÀO TẠO - BỘ NỘI VỤ</w:t>
            </w:r>
            <w:r w:rsidRPr="00A63A11">
              <w:rPr>
                <w:rFonts w:ascii="Times New Roman" w:eastAsia="Times New Roman" w:hAnsi="Times New Roman" w:cs="Times New Roman"/>
                <w:b/>
                <w:bCs/>
                <w:sz w:val="24"/>
                <w:szCs w:val="24"/>
              </w:rPr>
              <w:br/>
              <w:t>-------</w:t>
            </w:r>
          </w:p>
        </w:tc>
        <w:tc>
          <w:tcPr>
            <w:tcW w:w="5508" w:type="dxa"/>
            <w:tcMar>
              <w:top w:w="0" w:type="dxa"/>
              <w:left w:w="108" w:type="dxa"/>
              <w:bottom w:w="0" w:type="dxa"/>
              <w:right w:w="108" w:type="dxa"/>
            </w:tcMar>
            <w:hideMark/>
          </w:tcPr>
          <w:p w:rsidR="00A63A11" w:rsidRPr="00A63A11" w:rsidRDefault="00A63A11" w:rsidP="00A63A11">
            <w:pPr>
              <w:spacing w:before="120" w:after="100" w:afterAutospacing="1" w:line="240" w:lineRule="auto"/>
              <w:jc w:val="center"/>
              <w:rPr>
                <w:rFonts w:ascii="Times New Roman" w:eastAsia="Times New Roman" w:hAnsi="Times New Roman" w:cs="Times New Roman"/>
                <w:sz w:val="24"/>
                <w:szCs w:val="24"/>
              </w:rPr>
            </w:pPr>
            <w:r w:rsidRPr="00A63A11">
              <w:rPr>
                <w:rFonts w:ascii="Times New Roman" w:eastAsia="Times New Roman" w:hAnsi="Times New Roman" w:cs="Times New Roman"/>
                <w:b/>
                <w:bCs/>
                <w:sz w:val="24"/>
                <w:szCs w:val="24"/>
              </w:rPr>
              <w:t>CỘNG HÒA XÃ HỘI CHỦ NGHĨA VIỆT NAM</w:t>
            </w:r>
            <w:r w:rsidRPr="00A63A11">
              <w:rPr>
                <w:rFonts w:ascii="Times New Roman" w:eastAsia="Times New Roman" w:hAnsi="Times New Roman" w:cs="Times New Roman"/>
                <w:b/>
                <w:bCs/>
                <w:sz w:val="24"/>
                <w:szCs w:val="24"/>
              </w:rPr>
              <w:br/>
              <w:t xml:space="preserve">Độc lập - Tự do - Hạnh phúc </w:t>
            </w:r>
            <w:r w:rsidRPr="00A63A11">
              <w:rPr>
                <w:rFonts w:ascii="Times New Roman" w:eastAsia="Times New Roman" w:hAnsi="Times New Roman" w:cs="Times New Roman"/>
                <w:b/>
                <w:bCs/>
                <w:sz w:val="24"/>
                <w:szCs w:val="24"/>
              </w:rPr>
              <w:br/>
              <w:t>---------------</w:t>
            </w:r>
          </w:p>
        </w:tc>
      </w:tr>
      <w:tr w:rsidR="00A63A11" w:rsidRPr="00A63A11" w:rsidTr="00A63A11">
        <w:trPr>
          <w:tblCellSpacing w:w="0" w:type="dxa"/>
        </w:trPr>
        <w:tc>
          <w:tcPr>
            <w:tcW w:w="3348" w:type="dxa"/>
            <w:tcMar>
              <w:top w:w="0" w:type="dxa"/>
              <w:left w:w="108" w:type="dxa"/>
              <w:bottom w:w="0" w:type="dxa"/>
              <w:right w:w="108" w:type="dxa"/>
            </w:tcMar>
            <w:hideMark/>
          </w:tcPr>
          <w:p w:rsidR="00A63A11" w:rsidRPr="00A63A11" w:rsidRDefault="00A63A11" w:rsidP="00A63A11">
            <w:pPr>
              <w:spacing w:before="120" w:after="100" w:afterAutospacing="1" w:line="240" w:lineRule="auto"/>
              <w:jc w:val="center"/>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Số: 36/2014/TTLT-BGDĐT-BNV</w:t>
            </w:r>
          </w:p>
        </w:tc>
        <w:tc>
          <w:tcPr>
            <w:tcW w:w="5508" w:type="dxa"/>
            <w:tcMar>
              <w:top w:w="0" w:type="dxa"/>
              <w:left w:w="108" w:type="dxa"/>
              <w:bottom w:w="0" w:type="dxa"/>
              <w:right w:w="108" w:type="dxa"/>
            </w:tcMar>
            <w:hideMark/>
          </w:tcPr>
          <w:p w:rsidR="00A63A11" w:rsidRPr="00A63A11" w:rsidRDefault="00A63A11" w:rsidP="00A63A11">
            <w:pPr>
              <w:spacing w:before="120" w:after="100" w:afterAutospacing="1" w:line="240" w:lineRule="auto"/>
              <w:jc w:val="right"/>
              <w:rPr>
                <w:rFonts w:ascii="Times New Roman" w:eastAsia="Times New Roman" w:hAnsi="Times New Roman" w:cs="Times New Roman"/>
                <w:sz w:val="24"/>
                <w:szCs w:val="24"/>
              </w:rPr>
            </w:pPr>
            <w:r w:rsidRPr="00A63A11">
              <w:rPr>
                <w:rFonts w:ascii="Times New Roman" w:eastAsia="Times New Roman" w:hAnsi="Times New Roman" w:cs="Times New Roman"/>
                <w:i/>
                <w:iCs/>
                <w:sz w:val="24"/>
                <w:szCs w:val="24"/>
              </w:rPr>
              <w:t>Hà Nội, ngày 28 tháng 11 năm 2014</w:t>
            </w:r>
          </w:p>
        </w:tc>
      </w:tr>
    </w:tbl>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lang w:val="vi-VN"/>
        </w:rPr>
        <w:t> </w:t>
      </w:r>
    </w:p>
    <w:p w:rsidR="00A63A11" w:rsidRPr="00A63A11" w:rsidRDefault="00A63A11" w:rsidP="00A63A11">
      <w:pPr>
        <w:spacing w:before="120" w:after="100" w:afterAutospacing="1" w:line="240" w:lineRule="auto"/>
        <w:jc w:val="center"/>
        <w:rPr>
          <w:rFonts w:ascii="Times New Roman" w:eastAsia="Times New Roman" w:hAnsi="Times New Roman" w:cs="Times New Roman"/>
          <w:sz w:val="24"/>
          <w:szCs w:val="24"/>
        </w:rPr>
      </w:pPr>
      <w:bookmarkStart w:id="0" w:name="loai_1"/>
      <w:r w:rsidRPr="00A63A11">
        <w:rPr>
          <w:rFonts w:ascii="Times New Roman" w:eastAsia="Times New Roman" w:hAnsi="Times New Roman" w:cs="Times New Roman"/>
          <w:b/>
          <w:bCs/>
          <w:sz w:val="24"/>
          <w:szCs w:val="24"/>
          <w:lang w:val="vi-VN"/>
        </w:rPr>
        <w:t>THÔNG TƯ LIÊN TỊCH</w:t>
      </w:r>
      <w:bookmarkEnd w:id="0"/>
    </w:p>
    <w:p w:rsidR="00A63A11" w:rsidRPr="00A63A11" w:rsidRDefault="00A63A11" w:rsidP="00A63A11">
      <w:pPr>
        <w:spacing w:before="120" w:after="100" w:afterAutospacing="1" w:line="240" w:lineRule="auto"/>
        <w:jc w:val="center"/>
        <w:rPr>
          <w:rFonts w:ascii="Times New Roman" w:eastAsia="Times New Roman" w:hAnsi="Times New Roman" w:cs="Times New Roman"/>
          <w:sz w:val="24"/>
          <w:szCs w:val="24"/>
        </w:rPr>
      </w:pPr>
      <w:bookmarkStart w:id="1" w:name="loai_1_name"/>
      <w:r w:rsidRPr="00A63A11">
        <w:rPr>
          <w:rFonts w:ascii="Times New Roman" w:eastAsia="Times New Roman" w:hAnsi="Times New Roman" w:cs="Times New Roman"/>
          <w:sz w:val="24"/>
          <w:szCs w:val="24"/>
          <w:lang w:val="vi-VN"/>
        </w:rPr>
        <w:t>QUY ĐỊNH MÃ SỐ VÀ TIÊU CHUẨN CHỨC DANH NGHỀ NGHIỆP VIÊN CHỨC GIẢNG DẠY TRONG CÁC CƠ SỞ GIÁO DỤC ĐẠI HỌC CÔNG LẬP</w:t>
      </w:r>
      <w:bookmarkEnd w:id="1"/>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i/>
          <w:iCs/>
          <w:sz w:val="24"/>
          <w:szCs w:val="24"/>
          <w:lang w:val="vi-VN"/>
        </w:rPr>
        <w:t>Căn cứ Luật Viên chức ngày 15 tháng 11 năm 2010;</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i/>
          <w:iCs/>
          <w:sz w:val="24"/>
          <w:szCs w:val="24"/>
          <w:lang w:val="vi-VN"/>
        </w:rPr>
        <w:t xml:space="preserve">Căn cứ Nghị định số </w:t>
      </w:r>
      <w:hyperlink r:id="rId5" w:tgtFrame="_blank" w:tooltip="Nghị định 29/2012/NĐ-CP" w:history="1">
        <w:r w:rsidRPr="00A63A11">
          <w:rPr>
            <w:rFonts w:ascii="Times New Roman" w:eastAsia="Times New Roman" w:hAnsi="Times New Roman" w:cs="Times New Roman"/>
            <w:i/>
            <w:iCs/>
            <w:color w:val="0000FF"/>
            <w:sz w:val="24"/>
            <w:szCs w:val="24"/>
            <w:u w:val="single"/>
            <w:lang w:val="vi-VN"/>
          </w:rPr>
          <w:t>29/2012/NĐ-CP</w:t>
        </w:r>
      </w:hyperlink>
      <w:r w:rsidRPr="00A63A11">
        <w:rPr>
          <w:rFonts w:ascii="Times New Roman" w:eastAsia="Times New Roman" w:hAnsi="Times New Roman" w:cs="Times New Roman"/>
          <w:i/>
          <w:iCs/>
          <w:sz w:val="24"/>
          <w:szCs w:val="24"/>
          <w:lang w:val="vi-VN"/>
        </w:rPr>
        <w:t xml:space="preserve"> ngày 12 tháng 4 năm 2012 của Chính phủ quy định về tuyển dụng, sử dụng và quản lý viên chức;</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i/>
          <w:iCs/>
          <w:sz w:val="24"/>
          <w:szCs w:val="24"/>
          <w:lang w:val="vi-VN"/>
        </w:rPr>
        <w:t xml:space="preserve">Căn cứ Nghị định số </w:t>
      </w:r>
      <w:hyperlink r:id="rId6" w:tgtFrame="_blank" w:tooltip="Nghị định 32/2008/NĐ-CP" w:history="1">
        <w:r w:rsidRPr="00A63A11">
          <w:rPr>
            <w:rFonts w:ascii="Times New Roman" w:eastAsia="Times New Roman" w:hAnsi="Times New Roman" w:cs="Times New Roman"/>
            <w:i/>
            <w:iCs/>
            <w:color w:val="0000FF"/>
            <w:sz w:val="24"/>
            <w:szCs w:val="24"/>
            <w:u w:val="single"/>
            <w:lang w:val="vi-VN"/>
          </w:rPr>
          <w:t>32/2008/NĐ-CP</w:t>
        </w:r>
      </w:hyperlink>
      <w:r w:rsidRPr="00A63A11">
        <w:rPr>
          <w:rFonts w:ascii="Times New Roman" w:eastAsia="Times New Roman" w:hAnsi="Times New Roman" w:cs="Times New Roman"/>
          <w:i/>
          <w:iCs/>
          <w:sz w:val="24"/>
          <w:szCs w:val="24"/>
          <w:lang w:val="vi-VN"/>
        </w:rPr>
        <w:t xml:space="preserve"> ngày 19 tháng 3 năm 2008 của Chính phủ quy định chức năng, nhiệm vụ, quyền hạn và cơ cấu tổ chức của Bộ Giáo dục và Đào tạo;</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i/>
          <w:iCs/>
          <w:sz w:val="24"/>
          <w:szCs w:val="24"/>
          <w:lang w:val="vi-VN"/>
        </w:rPr>
        <w:t xml:space="preserve">Căn cứ Nghị định số </w:t>
      </w:r>
      <w:hyperlink r:id="rId7" w:tgtFrame="_blank" w:tooltip="Nghị định 58/2014/NĐ-CP" w:history="1">
        <w:r w:rsidRPr="00A63A11">
          <w:rPr>
            <w:rFonts w:ascii="Times New Roman" w:eastAsia="Times New Roman" w:hAnsi="Times New Roman" w:cs="Times New Roman"/>
            <w:i/>
            <w:iCs/>
            <w:color w:val="0000FF"/>
            <w:sz w:val="24"/>
            <w:szCs w:val="24"/>
            <w:u w:val="single"/>
            <w:lang w:val="vi-VN"/>
          </w:rPr>
          <w:t>58/2014/NĐ-CP</w:t>
        </w:r>
      </w:hyperlink>
      <w:r w:rsidRPr="00A63A11">
        <w:rPr>
          <w:rFonts w:ascii="Times New Roman" w:eastAsia="Times New Roman" w:hAnsi="Times New Roman" w:cs="Times New Roman"/>
          <w:i/>
          <w:iCs/>
          <w:sz w:val="24"/>
          <w:szCs w:val="24"/>
          <w:lang w:val="vi-VN"/>
        </w:rPr>
        <w:t xml:space="preserve"> ngày 16 tháng 6 năm 2014 của Chính phủ quy định chức năng, nhiệm vụ, quyền hạn và cơ cấu tổ chức của Bộ Nội vụ;</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i/>
          <w:iCs/>
          <w:sz w:val="24"/>
          <w:szCs w:val="24"/>
          <w:lang w:val="vi-VN"/>
        </w:rPr>
        <w:t>Bộ trưởng Bộ Giáo dục và Đào tạo và Bộ trưởng Bộ Nội vụ ban hành Thông tư liên tịch quy định mã số và tiêu chuẩn chức danh nghề nghiệp viên chức giảng dạy trong các cơ sở giáo dục đại học công lập.</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bookmarkStart w:id="2" w:name="chuong_1"/>
      <w:r w:rsidRPr="00A63A11">
        <w:rPr>
          <w:rFonts w:ascii="Times New Roman" w:eastAsia="Times New Roman" w:hAnsi="Times New Roman" w:cs="Times New Roman"/>
          <w:b/>
          <w:bCs/>
          <w:sz w:val="24"/>
          <w:szCs w:val="24"/>
        </w:rPr>
        <w:t>Chương I</w:t>
      </w:r>
      <w:bookmarkEnd w:id="2"/>
    </w:p>
    <w:p w:rsidR="00A63A11" w:rsidRPr="00A63A11" w:rsidRDefault="00A63A11" w:rsidP="00A63A11">
      <w:pPr>
        <w:spacing w:before="120" w:after="100" w:afterAutospacing="1" w:line="240" w:lineRule="auto"/>
        <w:jc w:val="center"/>
        <w:rPr>
          <w:rFonts w:ascii="Times New Roman" w:eastAsia="Times New Roman" w:hAnsi="Times New Roman" w:cs="Times New Roman"/>
          <w:sz w:val="24"/>
          <w:szCs w:val="24"/>
        </w:rPr>
      </w:pPr>
      <w:bookmarkStart w:id="3" w:name="chuong_1_name"/>
      <w:r w:rsidRPr="00A63A11">
        <w:rPr>
          <w:rFonts w:ascii="Times New Roman" w:eastAsia="Times New Roman" w:hAnsi="Times New Roman" w:cs="Times New Roman"/>
          <w:b/>
          <w:bCs/>
          <w:sz w:val="24"/>
          <w:szCs w:val="24"/>
        </w:rPr>
        <w:t>NHỮNG QUY ĐỊNH CHUNG</w:t>
      </w:r>
      <w:bookmarkEnd w:id="3"/>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bookmarkStart w:id="4" w:name="dieu_1"/>
      <w:r w:rsidRPr="00A63A11">
        <w:rPr>
          <w:rFonts w:ascii="Times New Roman" w:eastAsia="Times New Roman" w:hAnsi="Times New Roman" w:cs="Times New Roman"/>
          <w:b/>
          <w:bCs/>
          <w:sz w:val="24"/>
          <w:szCs w:val="24"/>
        </w:rPr>
        <w:t>Điều 1. Phạm vi điều chỉnh và đối tượng áp dụng</w:t>
      </w:r>
      <w:bookmarkEnd w:id="4"/>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1. Thông tư liên tịch này quy định mã số và tiêu chuẩn chức danh nghề nghiệp viên chức giảng dạy trong các cơ sở giáo dục đại học công lập, bao gồm: Đại học quốc gia, đại học vùng, học viện, trường đại học, trường cao đẳng công lập thuộc hệ thống giáo dục quốc dân.</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2. Thông tư liên tịch này áp dụng đối với viên chức làm công tác giảng dạy trong các cơ sở giáo dục đại học công lập và các tổ chức, cá nhân khác có liên quan.</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bookmarkStart w:id="5" w:name="dieu_2"/>
      <w:r w:rsidRPr="00A63A11">
        <w:rPr>
          <w:rFonts w:ascii="Times New Roman" w:eastAsia="Times New Roman" w:hAnsi="Times New Roman" w:cs="Times New Roman"/>
          <w:b/>
          <w:bCs/>
          <w:sz w:val="24"/>
          <w:szCs w:val="24"/>
        </w:rPr>
        <w:t>Điều 2. Mã số và phân hạng chức danh nghề nghiệp viên chức giảng dạy trong các cơ sở giáo dục đại học công lập</w:t>
      </w:r>
      <w:bookmarkEnd w:id="5"/>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Chức danh nghề nghiệp viên chức giảng dạy trong các cơ sở giáo dục đại học công lập bao gồm:</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lastRenderedPageBreak/>
        <w:t>1. Giảng viên cao cấp (hạng I)                 Mã số: V.07.01.01</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2. Giảng viên chính (hạng II)                    Mã số: V.07.01.02</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3. Giảng viên (hạng III)                            Mã số: V.07.01.03</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bookmarkStart w:id="6" w:name="dieu_3"/>
      <w:r w:rsidRPr="00A63A11">
        <w:rPr>
          <w:rFonts w:ascii="Times New Roman" w:eastAsia="Times New Roman" w:hAnsi="Times New Roman" w:cs="Times New Roman"/>
          <w:b/>
          <w:bCs/>
          <w:sz w:val="24"/>
          <w:szCs w:val="24"/>
        </w:rPr>
        <w:t>Điều 3. Tiêu chuẩn về đạo đức nghề nghiệp của viên chức giảng dạy trong các cơ sở giáo dục đại học công lập</w:t>
      </w:r>
      <w:bookmarkEnd w:id="6"/>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 xml:space="preserve">Thực hiện theo Quy định về đạo đức nhà giáo ban hành kèm theo Quyết định số </w:t>
      </w:r>
      <w:hyperlink r:id="rId8" w:tgtFrame="_blank" w:tooltip="Quyết định 16/2008/QĐ-BGDĐT" w:history="1">
        <w:r w:rsidRPr="00A63A11">
          <w:rPr>
            <w:rFonts w:ascii="Times New Roman" w:eastAsia="Times New Roman" w:hAnsi="Times New Roman" w:cs="Times New Roman"/>
            <w:color w:val="0000FF"/>
            <w:sz w:val="24"/>
            <w:szCs w:val="24"/>
            <w:u w:val="single"/>
          </w:rPr>
          <w:t>16/2008/QĐ-BGDĐT</w:t>
        </w:r>
      </w:hyperlink>
      <w:r w:rsidRPr="00A63A11">
        <w:rPr>
          <w:rFonts w:ascii="Times New Roman" w:eastAsia="Times New Roman" w:hAnsi="Times New Roman" w:cs="Times New Roman"/>
          <w:sz w:val="24"/>
          <w:szCs w:val="24"/>
        </w:rPr>
        <w:t xml:space="preserve"> ngày 16 tháng 4 năm 2008 của Bộ trưởng Bộ Giáo dục và Đào tạo và các quy định hiện hành của pháp luật.</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bookmarkStart w:id="7" w:name="chuong_2"/>
      <w:r w:rsidRPr="00A63A11">
        <w:rPr>
          <w:rFonts w:ascii="Times New Roman" w:eastAsia="Times New Roman" w:hAnsi="Times New Roman" w:cs="Times New Roman"/>
          <w:b/>
          <w:bCs/>
          <w:sz w:val="24"/>
          <w:szCs w:val="24"/>
        </w:rPr>
        <w:t>Chương II</w:t>
      </w:r>
      <w:bookmarkEnd w:id="7"/>
    </w:p>
    <w:p w:rsidR="00A63A11" w:rsidRPr="00A63A11" w:rsidRDefault="00A63A11" w:rsidP="00A63A11">
      <w:pPr>
        <w:spacing w:before="120" w:after="100" w:afterAutospacing="1" w:line="240" w:lineRule="auto"/>
        <w:jc w:val="center"/>
        <w:rPr>
          <w:rFonts w:ascii="Times New Roman" w:eastAsia="Times New Roman" w:hAnsi="Times New Roman" w:cs="Times New Roman"/>
          <w:sz w:val="24"/>
          <w:szCs w:val="24"/>
        </w:rPr>
      </w:pPr>
      <w:bookmarkStart w:id="8" w:name="chuong_2_name"/>
      <w:r w:rsidRPr="00A63A11">
        <w:rPr>
          <w:rFonts w:ascii="Times New Roman" w:eastAsia="Times New Roman" w:hAnsi="Times New Roman" w:cs="Times New Roman"/>
          <w:b/>
          <w:bCs/>
          <w:sz w:val="24"/>
          <w:szCs w:val="24"/>
        </w:rPr>
        <w:t>TIÊU CHUẨN CHỨC DANH NGHỀ NGHIỆP</w:t>
      </w:r>
      <w:bookmarkEnd w:id="8"/>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bookmarkStart w:id="9" w:name="dieu_4"/>
      <w:r w:rsidRPr="00A63A11">
        <w:rPr>
          <w:rFonts w:ascii="Times New Roman" w:eastAsia="Times New Roman" w:hAnsi="Times New Roman" w:cs="Times New Roman"/>
          <w:b/>
          <w:bCs/>
          <w:sz w:val="24"/>
          <w:szCs w:val="24"/>
        </w:rPr>
        <w:t>Điều 4. Giảng viên cao cấp (hạng I) - Mã số: V.07.01.01</w:t>
      </w:r>
      <w:bookmarkEnd w:id="9"/>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1. Nhiệm vụ:</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a) Giảng dạy trình độ cao đẳng, đại học trở lên; hướng dẫn và chấm đồ án, khóa luận tốt nghiệp cao đẳng, đại học; hướng dẫn luận văn thạc sĩ, luận án tiến sĩ; chủ trì hoặc tham gia các hội đồng đánh giá luận văn thạc sĩ, luận án tiến sĩ;</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b) Chủ trì xây dựng kế hoạch, nội dung, chương trình đào tạo của chuyên ngành; đề xuất phương hướng, biện pháp phát triển của ngành hoặc chuyên ngành;</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c) Chủ trì hoặc tham gia biên soạn giáo trình, sách tham khảo, sách chuyên khảo, sách hướng dẫn, biên dịch sách và giáo trình bằng tiếng nước ngoài sang tiếng Việt (sau đây gọi chung là sách phục vụ đào tạo). Chủ động cập nhật thường xuyên những thành tựu khoa học vào việc xây dựng nội dung, chương trình đào tạo; đổi mới phương pháp giảng dạy và phương pháp kiểm tra đánh giá kết quả học tập, rèn luyện của sinh viên;</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d) Chủ trì hoặc tham gia thực hiện chương trình, đề tài nghiên cứu khoa học; định hướng nghiên cứu khoa học cho tổ, nhóm chuyên môn;</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đ) Chủ trì hoặc tham gia đánh giá các đề án, đề tài nghiên cứu khoa học; tổ chức và trình bày báo cáo khoa học tại các hội nghị, hội thảo khoa học. Chủ trì hoặc tham gia nghiệm thu và công bố các báo cáo khoa học, các công trình nghiên cứu, trao đổi kinh nghiệm đóng góp vào sự phát triển của bộ môn và chuyên ngành;</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e) Tham gia các hoạt động hợp tác quốc tế và bảo đảm chất lượng giáo dục đại học;</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lastRenderedPageBreak/>
        <w:t>g) Tổ chức hướng dẫn sinh viên nghiên cứu khoa học; hướng dẫn sinh viên phương pháp học tập, nghiên cứu có hiệu quả; phát hiện năng lực sở trường của sinh viên để tổ chức đào tạo, bồi dưỡng tài năng;</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h) Tổ chức hoạt động tư vấn khoa học, công nghệ, chuyển giao công nghệ phục vụ kinh tế, xã hội, quốc phòng và an ninh;</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i) Học tập bồi dưỡng nâng cao trình độ chuyên môn, nghiệp vụ;</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k) Chủ trì hoặc tham gia bồi dưỡng, phát triển đội ngũ giảng viên theo yêu cầu phát triển chuyên môn, nghiệp vụ của bộ môn hoặc chuyên ngành;</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l) Tham gia công tác quản lý, công tác Đảng, đoàn thể và thực hiện các nhiệm vụ khác được phân công.</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2. Tiêu chuẩn về trình độ đào tạo, bồi dưỡng:</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a) Có bằng tiến sĩ phù hợp với vị trí việc làm, chuyên ngành giảng dạy;</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b) Có chứng chỉ bồi dưỡng nghiệp vụ sư phạm cho giảng viên;</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c) Có chứng chỉ bồi dưỡng giảng viên cao cấp (hạng I);</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 xml:space="preserve">d) Có trình độ ngoại ngữ bậc 4 (B2) theo quy định tại Thông tư số </w:t>
      </w:r>
      <w:hyperlink r:id="rId9" w:tgtFrame="_blank" w:tooltip="Thông tư 01/2014/TT-BGDĐT" w:history="1">
        <w:r w:rsidRPr="00A63A11">
          <w:rPr>
            <w:rFonts w:ascii="Times New Roman" w:eastAsia="Times New Roman" w:hAnsi="Times New Roman" w:cs="Times New Roman"/>
            <w:color w:val="0000FF"/>
            <w:sz w:val="24"/>
            <w:szCs w:val="24"/>
            <w:u w:val="single"/>
          </w:rPr>
          <w:t>01/2014/TT-BGDĐT</w:t>
        </w:r>
      </w:hyperlink>
      <w:r w:rsidRPr="00A63A11">
        <w:rPr>
          <w:rFonts w:ascii="Times New Roman" w:eastAsia="Times New Roman" w:hAnsi="Times New Roman" w:cs="Times New Roman"/>
          <w:sz w:val="24"/>
          <w:szCs w:val="24"/>
        </w:rPr>
        <w:t xml:space="preserve"> ngày 24 tháng 01 năm 2014 của Bộ Giáo dục và Đào tạo ban hành Khung năng lực ngoại ngữ 6 bậc dùng cho Việt Nam.</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 xml:space="preserve">Đối với giảng viên dạy ngoại ngữ thì trình độ ngoại ngữ thứ hai phải đạt bậc 4 (B2) theo quy định tại Thông tư số </w:t>
      </w:r>
      <w:hyperlink r:id="rId10" w:tgtFrame="_blank" w:tooltip="Thông tư 01/2014/TT-BGDĐT" w:history="1">
        <w:r w:rsidRPr="00A63A11">
          <w:rPr>
            <w:rFonts w:ascii="Times New Roman" w:eastAsia="Times New Roman" w:hAnsi="Times New Roman" w:cs="Times New Roman"/>
            <w:color w:val="0000FF"/>
            <w:sz w:val="24"/>
            <w:szCs w:val="24"/>
            <w:u w:val="single"/>
          </w:rPr>
          <w:t>01/2014/TT-BGDĐT</w:t>
        </w:r>
      </w:hyperlink>
      <w:r w:rsidRPr="00A63A11">
        <w:rPr>
          <w:rFonts w:ascii="Times New Roman" w:eastAsia="Times New Roman" w:hAnsi="Times New Roman" w:cs="Times New Roman"/>
          <w:sz w:val="24"/>
          <w:szCs w:val="24"/>
        </w:rPr>
        <w:t xml:space="preserve"> ngày 24 tháng 01 năm 2014 của Bộ Giáo dục và Đào tạo ban hành Khung năng lực ngoại ngữ 6 bậc dùng cho Việt Nam;</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 xml:space="preserve">đ) Có trình độ tin học đạt chuẩn kỹ năng sử dụng công nghệ thông tin cơ bản theo quy định tại Thông tư số </w:t>
      </w:r>
      <w:hyperlink r:id="rId11" w:tgtFrame="_blank" w:tooltip="Thông tư 03/2014/TT-BTTTT" w:history="1">
        <w:r w:rsidRPr="00A63A11">
          <w:rPr>
            <w:rFonts w:ascii="Times New Roman" w:eastAsia="Times New Roman" w:hAnsi="Times New Roman" w:cs="Times New Roman"/>
            <w:color w:val="0000FF"/>
            <w:sz w:val="24"/>
            <w:szCs w:val="24"/>
            <w:u w:val="single"/>
          </w:rPr>
          <w:t>03/2014/TT-BTTTT</w:t>
        </w:r>
      </w:hyperlink>
      <w:r w:rsidRPr="00A63A11">
        <w:rPr>
          <w:rFonts w:ascii="Times New Roman" w:eastAsia="Times New Roman" w:hAnsi="Times New Roman" w:cs="Times New Roman"/>
          <w:sz w:val="24"/>
          <w:szCs w:val="24"/>
        </w:rPr>
        <w:t xml:space="preserve"> ngày 11 tháng 3 năm 2014 của Bộ Thông tin và Truyền thông quy định Chuẩn kỹ năng sử dụng công nghệ thông tin.</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3. Tiêu chuẩn về năng lực chuyên môn, nghiệp vụ:</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a) Có kiến thức chuyên sâu về các môn học được phân công giảng dạy và có kiến thức vững vàng của một số môn học có liên quan trong chuyên ngành đào tạo được giao đảm nhiệm;</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b) Nắm vững thực tế và xu thế phát triển của công tác đào tạo, nghiên cứu khoa học của chuyên ngành;</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c) Chủ trì thực hiện ít nhất 02 (hai) đề tài nghiên cứu khoa học cấp cơ sở hoặc 01 (một) đề tài nghiên cứu khoa học cấp cao hơn đã nghiệm thu với kết quả từ đạt yêu cầu trở lên;</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lastRenderedPageBreak/>
        <w:t>d) Hướng dẫn ít nhất 02 (hai) học viên đã bảo vệ thành công luận văn thạc sĩ hoặc hướng dẫn ít nhất 01 (một) nghiên cứu sinh đã bảo vệ thành công luận án tiến sĩ.</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Đối với giảng viên giảng dạy các ngành thuộc nhóm ngành khoa học sức khỏe, hướng dẫn 01 (một) học viên bảo vệ thành công luận văn chuyên khoa cấp II tương đương với hướng dẫn 01 (một) học viên bảo vệ thành công luận văn thạc sĩ.</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Đối với giảng viên giảng dạy các ngành nghệ thuật có thể thay thế việc hướng dẫn 01 (một) nghiên cứu sinh bằng 01 (một) công trình nghiên cứu, sáng tác được giải thưởng có uy tín trong và ngoài nước.</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Đối với giảng viên không tham gia hướng dẫn luận văn thạc sĩ, luận án tiến sĩ thì số lượng đề tài nghiên cứu khoa học đã được nghiệm thu phải gấp hai lần số lượng đề tài nghiên cứu khoa học quy định tại Điểm c khoản 3 Điều này;</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đ) Chủ trì biên soạn ít nhất 02 (hai) sách phục vụ đào tạo được sử dụng trong giảng dạy, đào tạo;</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e) Có ít nhất 06 (sáu) bài báo khoa học đã được công bố, bao gồm: Bài báo khoa học đã được công bố trên tạp chí khoa học; báo cáo khoa học tại hội nghị, hội thảo khoa học quốc gia, quốc tế được đăng tải trên kỷ yếu hội nghị, hội thảo; kết quả ứng dụng khoa học, công nghệ (sau đây gọi chung là bài báo khoa học);</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g) Viên chức thăng hạng từ chức danh giảng viên chính (hạng II) lên chức danh giảng viên cao cấp (hạng I) phải có thời gian giữ chức danh giảng viên chính (hạng II) hoặc tương đương tối thiểu là 06 (sáu) năm, trong đó thời gian gần nhất giữ chức danh giảng viên chính (hạng II) tối thiểu là 02 (hai) năm.</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bookmarkStart w:id="10" w:name="dieu_5"/>
      <w:r w:rsidRPr="00A63A11">
        <w:rPr>
          <w:rFonts w:ascii="Times New Roman" w:eastAsia="Times New Roman" w:hAnsi="Times New Roman" w:cs="Times New Roman"/>
          <w:b/>
          <w:bCs/>
          <w:sz w:val="24"/>
          <w:szCs w:val="24"/>
        </w:rPr>
        <w:t>Điều 5. Giảng viên chính (hạng II) - Mã số: V.07.01.02</w:t>
      </w:r>
      <w:bookmarkEnd w:id="10"/>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1. Nhiệm vụ:</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a) Giảng dạy, hướng dẫn và chấm đồ án, khóa luận tốt nghiệp trình độ cao đẳng, đại học;</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b) Tham gia giảng dạy chương trình đào tạo trình độ thạc sĩ, tiến sĩ và hướng dẫn, đánh giá luận văn thạc sĩ, luận án tiến sĩ nếu có đủ tiêu chuẩn theo quy định;</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c) Chủ trì hoặc tham gia xây dựng kế hoạch, nội dung, chương trình đào tạo; đề xuất chủ trương, phương hướng và biện pháp phát triển của ngành hoặc chuyên ngành được giao đảm nhiệm;</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d) Chủ trì hoặc tham gia biên soạn sách phục vụ đào tạo. Chủ động đề xuất các giải pháp nâng cao chất lượng giảng dạy, phương pháp kiểm tra đánh giá kết quả học tập, rèn luyện của sinh viên;</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đ) Chủ trì hoặc tham gia thực hiện chương trình, đề tài nghiên cứu khoa học. Tham gia đánh giá các đề án, đề tài nghiên cứu khoa học; viết và tham gia báo cáo khoa học tại các hội nghị, hội thảo khoa học;</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lastRenderedPageBreak/>
        <w:t>e) Tham gia các hoạt động hợp tác quốc tế và bảo đảm chất lượng giáo dục đại học;</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g) Tham gia công tác chủ nhiệm lớp, cố vấn học tập; hướng dẫn thảo luận, thực hành, thí nghiệm, thực tập;</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h) Tham gia hoạt động tư vấn khoa học, công nghệ, chuyển giao công nghệ phục vụ kinh tế, xã hội, quốc phòng và an ninh;</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i) Học tập bồi dưỡng nâng cao trình độ chuyên môn, nghiệp vụ;</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k) Tham gia bồi dưỡng giảng viên theo yêu cầu phát triển chuyên môn, nghiệp vụ của bộ môn hoặc chuyên ngành;</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l) Tham gia công tác quản lý, công tác Đảng, đoàn thể và thực hiện các nhiệm vụ khác được phân công.</w:t>
      </w:r>
    </w:p>
    <w:p w:rsidR="00A63A11" w:rsidRPr="00A63A11" w:rsidRDefault="00A63A11" w:rsidP="00A63A11">
      <w:pPr>
        <w:spacing w:before="120" w:after="100" w:afterAutospacing="1" w:line="240" w:lineRule="auto"/>
        <w:rPr>
          <w:rFonts w:ascii="Times New Roman" w:eastAsia="Times New Roman" w:hAnsi="Times New Roman" w:cs="Times New Roman"/>
          <w:i/>
          <w:color w:val="FF0000"/>
          <w:sz w:val="32"/>
          <w:szCs w:val="32"/>
        </w:rPr>
      </w:pPr>
      <w:r w:rsidRPr="00A63A11">
        <w:rPr>
          <w:rFonts w:ascii="Times New Roman" w:eastAsia="Times New Roman" w:hAnsi="Times New Roman" w:cs="Times New Roman"/>
          <w:i/>
          <w:color w:val="FF0000"/>
          <w:sz w:val="32"/>
          <w:szCs w:val="32"/>
        </w:rPr>
        <w:t>2. Tiêu chuẩn về trình độ đào tạo, bồi dưỡng:</w:t>
      </w:r>
      <w:r w:rsidR="00970212" w:rsidRPr="00970212">
        <w:rPr>
          <w:rFonts w:ascii="Times New Roman" w:eastAsia="Times New Roman" w:hAnsi="Times New Roman" w:cs="Times New Roman"/>
          <w:i/>
          <w:color w:val="FF0000"/>
          <w:sz w:val="32"/>
          <w:szCs w:val="32"/>
        </w:rPr>
        <w:t xml:space="preserve">(Điều kiện đạt  được chức danh giảng viên chính hạng 2 </w:t>
      </w:r>
      <w:bookmarkStart w:id="11" w:name="_GoBack"/>
      <w:bookmarkEnd w:id="11"/>
    </w:p>
    <w:p w:rsidR="00A63A11" w:rsidRPr="00A63A11" w:rsidRDefault="00A63A11" w:rsidP="00A63A11">
      <w:pPr>
        <w:spacing w:before="120" w:after="100" w:afterAutospacing="1" w:line="240" w:lineRule="auto"/>
        <w:rPr>
          <w:rFonts w:ascii="Times New Roman" w:eastAsia="Times New Roman" w:hAnsi="Times New Roman" w:cs="Times New Roman"/>
          <w:i/>
          <w:color w:val="FF0000"/>
          <w:sz w:val="24"/>
          <w:szCs w:val="24"/>
        </w:rPr>
      </w:pPr>
      <w:r w:rsidRPr="00A63A11">
        <w:rPr>
          <w:rFonts w:ascii="Times New Roman" w:eastAsia="Times New Roman" w:hAnsi="Times New Roman" w:cs="Times New Roman"/>
          <w:i/>
          <w:color w:val="FF0000"/>
          <w:sz w:val="24"/>
          <w:szCs w:val="24"/>
        </w:rPr>
        <w:t>a) Có bằng thạc sĩ trở lên phù hợp với vị trí việc làm, chuyên ngành giảng dạy;</w:t>
      </w:r>
    </w:p>
    <w:p w:rsidR="00A63A11" w:rsidRPr="00A63A11" w:rsidRDefault="00A63A11" w:rsidP="00A63A11">
      <w:pPr>
        <w:spacing w:before="120" w:after="100" w:afterAutospacing="1" w:line="240" w:lineRule="auto"/>
        <w:rPr>
          <w:rFonts w:ascii="Times New Roman" w:eastAsia="Times New Roman" w:hAnsi="Times New Roman" w:cs="Times New Roman"/>
          <w:i/>
          <w:color w:val="FF0000"/>
          <w:sz w:val="24"/>
          <w:szCs w:val="24"/>
        </w:rPr>
      </w:pPr>
      <w:r w:rsidRPr="00A63A11">
        <w:rPr>
          <w:rFonts w:ascii="Times New Roman" w:eastAsia="Times New Roman" w:hAnsi="Times New Roman" w:cs="Times New Roman"/>
          <w:i/>
          <w:color w:val="FF0000"/>
          <w:sz w:val="24"/>
          <w:szCs w:val="24"/>
        </w:rPr>
        <w:t>b) Có chứng chỉ bồi dưỡng nghiệp vụ sư phạm cho giảng viên;</w:t>
      </w:r>
    </w:p>
    <w:p w:rsidR="00A63A11" w:rsidRPr="00A63A11" w:rsidRDefault="00A63A11" w:rsidP="00A63A11">
      <w:pPr>
        <w:spacing w:before="120" w:after="100" w:afterAutospacing="1" w:line="240" w:lineRule="auto"/>
        <w:rPr>
          <w:rFonts w:ascii="Times New Roman" w:eastAsia="Times New Roman" w:hAnsi="Times New Roman" w:cs="Times New Roman"/>
          <w:i/>
          <w:color w:val="FF0000"/>
          <w:sz w:val="24"/>
          <w:szCs w:val="24"/>
        </w:rPr>
      </w:pPr>
      <w:r w:rsidRPr="00A63A11">
        <w:rPr>
          <w:rFonts w:ascii="Times New Roman" w:eastAsia="Times New Roman" w:hAnsi="Times New Roman" w:cs="Times New Roman"/>
          <w:i/>
          <w:color w:val="FF0000"/>
          <w:sz w:val="24"/>
          <w:szCs w:val="24"/>
        </w:rPr>
        <w:t>c) Có chứng chỉ bồi dưỡng giảng viên chính (hạng II);</w:t>
      </w:r>
    </w:p>
    <w:p w:rsidR="00A63A11" w:rsidRPr="00A63A11" w:rsidRDefault="00A63A11" w:rsidP="00A63A11">
      <w:pPr>
        <w:spacing w:before="120" w:after="100" w:afterAutospacing="1" w:line="240" w:lineRule="auto"/>
        <w:rPr>
          <w:rFonts w:ascii="Times New Roman" w:eastAsia="Times New Roman" w:hAnsi="Times New Roman" w:cs="Times New Roman"/>
          <w:i/>
          <w:color w:val="FF0000"/>
          <w:sz w:val="24"/>
          <w:szCs w:val="24"/>
        </w:rPr>
      </w:pPr>
      <w:r w:rsidRPr="00A63A11">
        <w:rPr>
          <w:rFonts w:ascii="Times New Roman" w:eastAsia="Times New Roman" w:hAnsi="Times New Roman" w:cs="Times New Roman"/>
          <w:i/>
          <w:color w:val="FF0000"/>
          <w:sz w:val="24"/>
          <w:szCs w:val="24"/>
        </w:rPr>
        <w:t xml:space="preserve">d) Có trình độ ngoại ngữ bậc 3 (B1) theo quy định tại Thông tư số </w:t>
      </w:r>
      <w:hyperlink r:id="rId12" w:tgtFrame="_blank" w:tooltip="Thông tư 01/2014/TT-BGDĐT" w:history="1">
        <w:r w:rsidRPr="00A63A11">
          <w:rPr>
            <w:rFonts w:ascii="Times New Roman" w:eastAsia="Times New Roman" w:hAnsi="Times New Roman" w:cs="Times New Roman"/>
            <w:i/>
            <w:color w:val="FF0000"/>
            <w:sz w:val="24"/>
            <w:szCs w:val="24"/>
            <w:u w:val="single"/>
          </w:rPr>
          <w:t>01/2014/TT-BGDĐT</w:t>
        </w:r>
      </w:hyperlink>
      <w:r w:rsidRPr="00A63A11">
        <w:rPr>
          <w:rFonts w:ascii="Times New Roman" w:eastAsia="Times New Roman" w:hAnsi="Times New Roman" w:cs="Times New Roman"/>
          <w:i/>
          <w:color w:val="FF0000"/>
          <w:sz w:val="24"/>
          <w:szCs w:val="24"/>
        </w:rPr>
        <w:t xml:space="preserve"> ngày 24 tháng 01 năm 2014 của Bộ Giáo dục và Đào tạo ban hành Khung năng lực ngoại ngữ 6 bậc dùng cho Việt Nam.</w:t>
      </w:r>
    </w:p>
    <w:p w:rsidR="00A63A11" w:rsidRPr="00A63A11" w:rsidRDefault="00A63A11" w:rsidP="00A63A11">
      <w:pPr>
        <w:spacing w:before="120" w:after="100" w:afterAutospacing="1" w:line="240" w:lineRule="auto"/>
        <w:rPr>
          <w:rFonts w:ascii="Times New Roman" w:eastAsia="Times New Roman" w:hAnsi="Times New Roman" w:cs="Times New Roman"/>
          <w:i/>
          <w:color w:val="FF0000"/>
          <w:sz w:val="24"/>
          <w:szCs w:val="24"/>
        </w:rPr>
      </w:pPr>
      <w:r w:rsidRPr="00A63A11">
        <w:rPr>
          <w:rFonts w:ascii="Times New Roman" w:eastAsia="Times New Roman" w:hAnsi="Times New Roman" w:cs="Times New Roman"/>
          <w:i/>
          <w:color w:val="FF0000"/>
          <w:sz w:val="24"/>
          <w:szCs w:val="24"/>
        </w:rPr>
        <w:t xml:space="preserve">Đối với giảng viên dạy ngoại ngữ thì trình độ ngoại ngữ thứ hai phải đạt bậc 3 (B1) theo quy định tại Thông tư số </w:t>
      </w:r>
      <w:hyperlink r:id="rId13" w:tgtFrame="_blank" w:tooltip="Thông tư 01/2014/TT-BGDĐT" w:history="1">
        <w:r w:rsidRPr="00A63A11">
          <w:rPr>
            <w:rFonts w:ascii="Times New Roman" w:eastAsia="Times New Roman" w:hAnsi="Times New Roman" w:cs="Times New Roman"/>
            <w:i/>
            <w:color w:val="FF0000"/>
            <w:sz w:val="24"/>
            <w:szCs w:val="24"/>
            <w:u w:val="single"/>
          </w:rPr>
          <w:t>01/2014/TT-BGDĐT</w:t>
        </w:r>
      </w:hyperlink>
      <w:r w:rsidRPr="00A63A11">
        <w:rPr>
          <w:rFonts w:ascii="Times New Roman" w:eastAsia="Times New Roman" w:hAnsi="Times New Roman" w:cs="Times New Roman"/>
          <w:i/>
          <w:color w:val="FF0000"/>
          <w:sz w:val="24"/>
          <w:szCs w:val="24"/>
        </w:rPr>
        <w:t xml:space="preserve"> ngày 24 tháng 01 năm 2014 của Bộ Giáo dục và Đào tạo ban hành Khung năng lực ngoại ngữ 6 bậc dùng cho Việt Nam;</w:t>
      </w:r>
    </w:p>
    <w:p w:rsidR="00A63A11" w:rsidRPr="00A63A11" w:rsidRDefault="00A63A11" w:rsidP="00A63A11">
      <w:pPr>
        <w:spacing w:before="120" w:after="100" w:afterAutospacing="1" w:line="240" w:lineRule="auto"/>
        <w:rPr>
          <w:rFonts w:ascii="Times New Roman" w:eastAsia="Times New Roman" w:hAnsi="Times New Roman" w:cs="Times New Roman"/>
          <w:i/>
          <w:color w:val="FF0000"/>
          <w:sz w:val="24"/>
          <w:szCs w:val="24"/>
        </w:rPr>
      </w:pPr>
      <w:r w:rsidRPr="00A63A11">
        <w:rPr>
          <w:rFonts w:ascii="Times New Roman" w:eastAsia="Times New Roman" w:hAnsi="Times New Roman" w:cs="Times New Roman"/>
          <w:i/>
          <w:color w:val="FF0000"/>
          <w:sz w:val="24"/>
          <w:szCs w:val="24"/>
        </w:rPr>
        <w:t xml:space="preserve">đ) Có trình độ tin học đạt chuẩn kỹ năng sử dụng công nghệ thông tin cơ bản theo quy định tại Thông tư số </w:t>
      </w:r>
      <w:hyperlink r:id="rId14" w:tgtFrame="_blank" w:tooltip="Thông tư 03/2014/TT-BTTTT" w:history="1">
        <w:r w:rsidRPr="00A63A11">
          <w:rPr>
            <w:rFonts w:ascii="Times New Roman" w:eastAsia="Times New Roman" w:hAnsi="Times New Roman" w:cs="Times New Roman"/>
            <w:i/>
            <w:color w:val="FF0000"/>
            <w:sz w:val="24"/>
            <w:szCs w:val="24"/>
            <w:u w:val="single"/>
          </w:rPr>
          <w:t>03/2014/TT-BTTTT</w:t>
        </w:r>
      </w:hyperlink>
      <w:r w:rsidRPr="00A63A11">
        <w:rPr>
          <w:rFonts w:ascii="Times New Roman" w:eastAsia="Times New Roman" w:hAnsi="Times New Roman" w:cs="Times New Roman"/>
          <w:i/>
          <w:color w:val="FF0000"/>
          <w:sz w:val="24"/>
          <w:szCs w:val="24"/>
        </w:rPr>
        <w:t xml:space="preserve"> ngày 11 tháng 3 năm 2014 của Bộ Thông tin và Truyền thông quy định Chuẩn kỹ năng sử dụng công nghệ thông tin.</w:t>
      </w:r>
    </w:p>
    <w:p w:rsidR="00A63A11" w:rsidRPr="00A63A11" w:rsidRDefault="00A63A11" w:rsidP="00A63A11">
      <w:pPr>
        <w:spacing w:before="120" w:after="100" w:afterAutospacing="1" w:line="240" w:lineRule="auto"/>
        <w:rPr>
          <w:rFonts w:ascii="Times New Roman" w:eastAsia="Times New Roman" w:hAnsi="Times New Roman" w:cs="Times New Roman"/>
          <w:i/>
          <w:color w:val="FF0000"/>
          <w:sz w:val="24"/>
          <w:szCs w:val="24"/>
        </w:rPr>
      </w:pPr>
      <w:r w:rsidRPr="00A63A11">
        <w:rPr>
          <w:rFonts w:ascii="Times New Roman" w:eastAsia="Times New Roman" w:hAnsi="Times New Roman" w:cs="Times New Roman"/>
          <w:i/>
          <w:color w:val="FF0000"/>
          <w:sz w:val="24"/>
          <w:szCs w:val="24"/>
        </w:rPr>
        <w:t>3. Tiêu chuẩn về năng lực chuyên môn, nghiệp vụ:</w:t>
      </w:r>
    </w:p>
    <w:p w:rsidR="00A63A11" w:rsidRPr="00A63A11" w:rsidRDefault="00A63A11" w:rsidP="00A63A11">
      <w:pPr>
        <w:spacing w:before="120" w:after="100" w:afterAutospacing="1" w:line="240" w:lineRule="auto"/>
        <w:rPr>
          <w:rFonts w:ascii="Times New Roman" w:eastAsia="Times New Roman" w:hAnsi="Times New Roman" w:cs="Times New Roman"/>
          <w:i/>
          <w:color w:val="FF0000"/>
          <w:sz w:val="24"/>
          <w:szCs w:val="24"/>
        </w:rPr>
      </w:pPr>
      <w:r w:rsidRPr="00A63A11">
        <w:rPr>
          <w:rFonts w:ascii="Times New Roman" w:eastAsia="Times New Roman" w:hAnsi="Times New Roman" w:cs="Times New Roman"/>
          <w:i/>
          <w:color w:val="FF0000"/>
          <w:sz w:val="24"/>
          <w:szCs w:val="24"/>
        </w:rPr>
        <w:t>a) Có kiến thức vững vàng về các môn học được phân công giảng dạy và kiến thức cơ bản của một số môn học có liên quan trong chuyên ngành đào tạo được giao đảm nhiệm;</w:t>
      </w:r>
    </w:p>
    <w:p w:rsidR="00A63A11" w:rsidRPr="00A63A11" w:rsidRDefault="00A63A11" w:rsidP="00A63A11">
      <w:pPr>
        <w:spacing w:before="120" w:after="100" w:afterAutospacing="1" w:line="240" w:lineRule="auto"/>
        <w:rPr>
          <w:rFonts w:ascii="Times New Roman" w:eastAsia="Times New Roman" w:hAnsi="Times New Roman" w:cs="Times New Roman"/>
          <w:i/>
          <w:color w:val="FF0000"/>
          <w:sz w:val="24"/>
          <w:szCs w:val="24"/>
        </w:rPr>
      </w:pPr>
      <w:r w:rsidRPr="00A63A11">
        <w:rPr>
          <w:rFonts w:ascii="Times New Roman" w:eastAsia="Times New Roman" w:hAnsi="Times New Roman" w:cs="Times New Roman"/>
          <w:i/>
          <w:color w:val="FF0000"/>
          <w:sz w:val="24"/>
          <w:szCs w:val="24"/>
        </w:rPr>
        <w:t>b) Nắm vững mục tiêu, kế hoạch, nội dung, chương trình các môn học được phân công đảm nhiệm; nắm bắt yêu cầu thực tiễn đối với chuyên ngành đào tạo;</w:t>
      </w:r>
    </w:p>
    <w:p w:rsidR="00A63A11" w:rsidRPr="00A63A11" w:rsidRDefault="00A63A11" w:rsidP="00A63A11">
      <w:pPr>
        <w:spacing w:before="120" w:after="100" w:afterAutospacing="1" w:line="240" w:lineRule="auto"/>
        <w:rPr>
          <w:rFonts w:ascii="Times New Roman" w:eastAsia="Times New Roman" w:hAnsi="Times New Roman" w:cs="Times New Roman"/>
          <w:i/>
          <w:color w:val="FF0000"/>
          <w:sz w:val="24"/>
          <w:szCs w:val="24"/>
        </w:rPr>
      </w:pPr>
      <w:r w:rsidRPr="00A63A11">
        <w:rPr>
          <w:rFonts w:ascii="Times New Roman" w:eastAsia="Times New Roman" w:hAnsi="Times New Roman" w:cs="Times New Roman"/>
          <w:i/>
          <w:color w:val="FF0000"/>
          <w:sz w:val="24"/>
          <w:szCs w:val="24"/>
        </w:rPr>
        <w:lastRenderedPageBreak/>
        <w:t>c) Chủ trì thực hiện ít nhất 01 (một) đề tài nghiên cứu khoa học cấp cơ sở hoặc cấp cao hơn đã nghiệm thu với kết quả từ đạt yêu cầu trở lên;</w:t>
      </w:r>
    </w:p>
    <w:p w:rsidR="00A63A11" w:rsidRPr="00A63A11" w:rsidRDefault="00A63A11" w:rsidP="00A63A11">
      <w:pPr>
        <w:spacing w:before="120" w:after="100" w:afterAutospacing="1" w:line="240" w:lineRule="auto"/>
        <w:rPr>
          <w:rFonts w:ascii="Times New Roman" w:eastAsia="Times New Roman" w:hAnsi="Times New Roman" w:cs="Times New Roman"/>
          <w:i/>
          <w:color w:val="FF0000"/>
          <w:sz w:val="24"/>
          <w:szCs w:val="24"/>
        </w:rPr>
      </w:pPr>
      <w:r w:rsidRPr="00A63A11">
        <w:rPr>
          <w:rFonts w:ascii="Times New Roman" w:eastAsia="Times New Roman" w:hAnsi="Times New Roman" w:cs="Times New Roman"/>
          <w:i/>
          <w:color w:val="FF0000"/>
          <w:sz w:val="24"/>
          <w:szCs w:val="24"/>
        </w:rPr>
        <w:t>d) Chủ trì hoặc tham gia biên soạn ít nhất 01 (một) sách phục vụ đào tạo được sử dụng trong giảng dạy, đào tạo;</w:t>
      </w:r>
    </w:p>
    <w:p w:rsidR="00A63A11" w:rsidRPr="00A63A11" w:rsidRDefault="00A63A11" w:rsidP="00A63A11">
      <w:pPr>
        <w:spacing w:before="120" w:after="100" w:afterAutospacing="1" w:line="240" w:lineRule="auto"/>
        <w:rPr>
          <w:rFonts w:ascii="Times New Roman" w:eastAsia="Times New Roman" w:hAnsi="Times New Roman" w:cs="Times New Roman"/>
          <w:i/>
          <w:color w:val="FF0000"/>
          <w:sz w:val="24"/>
          <w:szCs w:val="24"/>
        </w:rPr>
      </w:pPr>
      <w:r w:rsidRPr="00A63A11">
        <w:rPr>
          <w:rFonts w:ascii="Times New Roman" w:eastAsia="Times New Roman" w:hAnsi="Times New Roman" w:cs="Times New Roman"/>
          <w:i/>
          <w:color w:val="FF0000"/>
          <w:sz w:val="24"/>
          <w:szCs w:val="24"/>
        </w:rPr>
        <w:t>đ) Có ít nhất 03 (ba) bài báo khoa học đã được công bố;</w:t>
      </w:r>
    </w:p>
    <w:p w:rsidR="00A63A11" w:rsidRPr="00A63A11" w:rsidRDefault="00A63A11" w:rsidP="00A63A11">
      <w:pPr>
        <w:spacing w:before="120" w:after="100" w:afterAutospacing="1" w:line="240" w:lineRule="auto"/>
        <w:rPr>
          <w:rFonts w:ascii="Times New Roman" w:eastAsia="Times New Roman" w:hAnsi="Times New Roman" w:cs="Times New Roman"/>
          <w:i/>
          <w:color w:val="FF0000"/>
          <w:sz w:val="24"/>
          <w:szCs w:val="24"/>
        </w:rPr>
      </w:pPr>
      <w:r w:rsidRPr="00A63A11">
        <w:rPr>
          <w:rFonts w:ascii="Times New Roman" w:eastAsia="Times New Roman" w:hAnsi="Times New Roman" w:cs="Times New Roman"/>
          <w:i/>
          <w:color w:val="FF0000"/>
          <w:sz w:val="24"/>
          <w:szCs w:val="24"/>
        </w:rPr>
        <w:t>e) Viên chức thăng hạng từ chức danh giảng viên (hạng III) lên chức danh giảng viên chính (hạng II) phải có thời gian giữ chức danh giảng viên (hạng III) hoặc tương đương tối thiểu là 09 (chín) năm đối với người có bằng thạc sĩ, 06 (sáu) năm đối với người có bằng tiến sĩ; trong đó thời gian gần nhất giữ chức danh giảng viên (hạng III) tối thiểu là 02 (hai) năm.</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bookmarkStart w:id="12" w:name="dieu_6"/>
      <w:r w:rsidRPr="00A63A11">
        <w:rPr>
          <w:rFonts w:ascii="Times New Roman" w:eastAsia="Times New Roman" w:hAnsi="Times New Roman" w:cs="Times New Roman"/>
          <w:b/>
          <w:bCs/>
          <w:sz w:val="24"/>
          <w:szCs w:val="24"/>
        </w:rPr>
        <w:t>Điều 6. Giảng viên (hạng III) - Mã số: V.07.01.03</w:t>
      </w:r>
      <w:bookmarkEnd w:id="12"/>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1. Nhiệm vụ:</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a) Giảng dạy, hướng dẫn và chấm đồ án, khóa luận tốt nghiệp trình độ cao đẳng, đại học. Giảng viên trong thời gian làm công tác trợ giảng thực hiện hỗ trợ giảng viên, giảng viên chính, phó giáo sư, giáo sư trong các hoạt động giảng dạy, bao gồm: Chuẩn bị bài giảng, phụ đạo, hướng dẫn bài tập, thảo luận, thí nghiệm, thực hành và chấm bài;</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b) Tham gia giảng dạy chương trình đào tạo trình độ thạc sĩ, tiến sĩ và hướng dẫn, đánh giá luận văn thạc sĩ, luận án tiến sĩ nếu có đủ tiêu chuẩn theo quy định;</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c) Tham gia xây dựng kế hoạch, nội dung, chương trình đào tạo; tham gia đổi mới phương pháp giảng dạy, phương pháp kiểm tra đánh giá kết quả học tập, rèn luyện của sinh viên;</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d) Chủ trì hoặc tham gia biên soạn sách phục vụ đào tạo;</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đ) Tổ chức và tham gia các hoạt động nghiên cứu khoa học; viết và tham gia báo cáo khoa học tại các hội nghị, hội thảo khoa học; tham gia triển khai các hoạt động chuyển giao công nghệ cho cơ sở sản xuất;</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e) Tham gia các hoạt động hợp tác quốc tế và bảo đảm chất lượng giáo dục đại học;</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g) Tham gia công tác chủ nhiệm lớp, cố vấn học tập; hướng dẫn thảo luận, thực hành, thí nghiệm và thực tập;</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h) Học tập bồi dưỡng nâng cao trình độ chuyên môn, nghiệp vụ;</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i) Tham gia công tác quản lý, công tác Đảng, đoàn thể và thực hiện các nhiệm vụ khác được phân công.</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2. Tiêu chuẩn về trình độ đào tạo, bồi dưỡng:</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lastRenderedPageBreak/>
        <w:t>a) Có bằng tốt nghiệp đại học trở lên phù hợp với vị trí việc làm, chuyên ngành giảng dạy;</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b) Có chứng chỉ bồi dưỡng nghiệp vụ sư phạm cho giảng viên;</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 xml:space="preserve">c) Có trình độ ngoại ngữ bậc 2 (A2) theo quy định tại Thông tư số </w:t>
      </w:r>
      <w:hyperlink r:id="rId15" w:tgtFrame="_blank" w:tooltip="Thông tư 01/2014/TT-BGDĐT" w:history="1">
        <w:r w:rsidRPr="00A63A11">
          <w:rPr>
            <w:rFonts w:ascii="Times New Roman" w:eastAsia="Times New Roman" w:hAnsi="Times New Roman" w:cs="Times New Roman"/>
            <w:color w:val="0000FF"/>
            <w:sz w:val="24"/>
            <w:szCs w:val="24"/>
            <w:u w:val="single"/>
          </w:rPr>
          <w:t>01/2014/TT-BGDĐT</w:t>
        </w:r>
      </w:hyperlink>
      <w:r w:rsidRPr="00A63A11">
        <w:rPr>
          <w:rFonts w:ascii="Times New Roman" w:eastAsia="Times New Roman" w:hAnsi="Times New Roman" w:cs="Times New Roman"/>
          <w:sz w:val="24"/>
          <w:szCs w:val="24"/>
        </w:rPr>
        <w:t xml:space="preserve"> ngày 24 tháng 01 năm 2014 của Bộ Giáo dục và Đào tạo ban hành Khung năng lực ngoại ngữ 6 bậc dùng cho Việt Nam.</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 xml:space="preserve">Đối với giảng viên dạy ngoại ngữ thì trình độ ngoại ngữ thứ hai phải đạt bậc 2 (A2) theo quy định tại Thông tư số </w:t>
      </w:r>
      <w:hyperlink r:id="rId16" w:tgtFrame="_blank" w:tooltip="Thông tư 01/2014/TT-BGDĐT" w:history="1">
        <w:r w:rsidRPr="00A63A11">
          <w:rPr>
            <w:rFonts w:ascii="Times New Roman" w:eastAsia="Times New Roman" w:hAnsi="Times New Roman" w:cs="Times New Roman"/>
            <w:color w:val="0000FF"/>
            <w:sz w:val="24"/>
            <w:szCs w:val="24"/>
            <w:u w:val="single"/>
          </w:rPr>
          <w:t>01/2014/TT-BGDĐT</w:t>
        </w:r>
      </w:hyperlink>
      <w:r w:rsidRPr="00A63A11">
        <w:rPr>
          <w:rFonts w:ascii="Times New Roman" w:eastAsia="Times New Roman" w:hAnsi="Times New Roman" w:cs="Times New Roman"/>
          <w:sz w:val="24"/>
          <w:szCs w:val="24"/>
        </w:rPr>
        <w:t xml:space="preserve"> ngày 24 tháng 01 năm 2014 của Bộ Giáo dục và Đào tạo ban hành Khung năng lực ngoại ngữ 6 bậc dùng cho Việt Nam;</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 xml:space="preserve">d) Có trình độ tin học đạt chuẩn kỹ năng sử dụng công nghệ thông tin cơ bản theo quy định tại Thông tư số </w:t>
      </w:r>
      <w:hyperlink r:id="rId17" w:tgtFrame="_blank" w:tooltip="Thông tư 03/2014/TT-BTTTT" w:history="1">
        <w:r w:rsidRPr="00A63A11">
          <w:rPr>
            <w:rFonts w:ascii="Times New Roman" w:eastAsia="Times New Roman" w:hAnsi="Times New Roman" w:cs="Times New Roman"/>
            <w:color w:val="0000FF"/>
            <w:sz w:val="24"/>
            <w:szCs w:val="24"/>
            <w:u w:val="single"/>
          </w:rPr>
          <w:t>03/2014/TT-BTTTT</w:t>
        </w:r>
      </w:hyperlink>
      <w:r w:rsidRPr="00A63A11">
        <w:rPr>
          <w:rFonts w:ascii="Times New Roman" w:eastAsia="Times New Roman" w:hAnsi="Times New Roman" w:cs="Times New Roman"/>
          <w:sz w:val="24"/>
          <w:szCs w:val="24"/>
        </w:rPr>
        <w:t xml:space="preserve"> ngày 11 tháng 3 năm 2014 của Bộ Thông tin và Truyền thông quy định Chuẩn kỹ năng sử dụng công nghệ thông tin.</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3. Tiêu chuẩn về năng lực chuyên môn, nghiệp vụ:</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a) Nắm vững kiến thức cơ bản của môn học được phân công giảng dạy và có kiến thức tổng quát về một số môn học có liên quan trong chuyên ngành đào tạo được giao đảm nhiệm;</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b) Nắm vững mục tiêu, kế hoạch, nội dung, chương trình các môn học được phân công thuộc chuyên ngành đào tạo. Xác định được thực tiễn và xu thế phát triển đào tạo, nghiên cứu của chuyên ngành ở trong và ngoài nước;</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c) Biên soạn giáo án, tập hợp các tài liệu tham khảo liên quan của bộ môn, chủ trì hoặc tham gia biên soạn giáo trình, sách hướng dẫn bài tập, thực hành, thí nghiệm;</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d) Có khả năng tham gia nghiên cứu khoa học và tổ chức cho sinh viên nghiên cứu khoa học; ứng dụng, triển khai những kết quả nghiên cứu khoa học, công nghệ vào công tác giáo dục và đào tạo, sản xuất và đời sống;</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r w:rsidRPr="00A63A11">
        <w:rPr>
          <w:rFonts w:ascii="Times New Roman" w:eastAsia="Times New Roman" w:hAnsi="Times New Roman" w:cs="Times New Roman"/>
          <w:sz w:val="24"/>
          <w:szCs w:val="24"/>
        </w:rPr>
        <w:t>đ) Có phương pháp dạy học hiệu quả, phù hợp với nội dung môn học; giảng dạy đạt yêu cầu trở lên.</w:t>
      </w:r>
    </w:p>
    <w:p w:rsidR="00A63A11" w:rsidRPr="00A63A11" w:rsidRDefault="00A63A11" w:rsidP="00A63A11">
      <w:pPr>
        <w:spacing w:before="120" w:after="100" w:afterAutospacing="1" w:line="240" w:lineRule="auto"/>
        <w:rPr>
          <w:rFonts w:ascii="Times New Roman" w:eastAsia="Times New Roman" w:hAnsi="Times New Roman" w:cs="Times New Roman"/>
          <w:sz w:val="24"/>
          <w:szCs w:val="24"/>
        </w:rPr>
      </w:pPr>
      <w:bookmarkStart w:id="13" w:name="chuong_3"/>
      <w:r w:rsidRPr="00A63A11">
        <w:rPr>
          <w:rFonts w:ascii="Times New Roman" w:eastAsia="Times New Roman" w:hAnsi="Times New Roman" w:cs="Times New Roman"/>
          <w:b/>
          <w:bCs/>
          <w:sz w:val="24"/>
          <w:szCs w:val="24"/>
        </w:rPr>
        <w:t>Chương III</w:t>
      </w:r>
      <w:bookmarkEnd w:id="13"/>
    </w:p>
    <w:p w:rsidR="00163C3F" w:rsidRDefault="00163C3F"/>
    <w:sectPr w:rsidR="00163C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A11"/>
    <w:rsid w:val="00163C3F"/>
    <w:rsid w:val="007F6B71"/>
    <w:rsid w:val="00970212"/>
    <w:rsid w:val="00A63A11"/>
    <w:rsid w:val="00B45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471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van-ban/giao-duc/quyet-dinh-16-2008-qd-bgddt-quy-dinh-ve-dao-duc-nha-giao-64951.aspx" TargetMode="External"/><Relationship Id="rId13" Type="http://schemas.openxmlformats.org/officeDocument/2006/relationships/hyperlink" Target="https://thuvienphapluat.vn/van-ban/giao-duc/thong-tu-01-2014-tt-bgddt-khung-nang-luc-ngoai-ngu-6-bac-viet-nam-220349.asp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van-ban/bo-may-hanh-chinh/nghi-dinh-58-2014-nd-cp-chuc-nang-nhiem-vu-quyen-han-co-cau-to-chuc-bo-noi-vu-235518.aspx" TargetMode="External"/><Relationship Id="rId12" Type="http://schemas.openxmlformats.org/officeDocument/2006/relationships/hyperlink" Target="https://thuvienphapluat.vn/van-ban/giao-duc/thong-tu-01-2014-tt-bgddt-khung-nang-luc-ngoai-ngu-6-bac-viet-nam-220349.aspx" TargetMode="External"/><Relationship Id="rId17" Type="http://schemas.openxmlformats.org/officeDocument/2006/relationships/hyperlink" Target="https://thuvienphapluat.vn/van-ban/cong-nghe-thong-tin/thong-tu-03-2014-tt-btttt-chuan-ky-nang-su-dung-cong-nghe-thong-tin-223113.aspx" TargetMode="External"/><Relationship Id="rId2" Type="http://schemas.microsoft.com/office/2007/relationships/stylesWithEffects" Target="stylesWithEffects.xml"/><Relationship Id="rId16" Type="http://schemas.openxmlformats.org/officeDocument/2006/relationships/hyperlink" Target="https://thuvienphapluat.vn/van-ban/giao-duc/thong-tu-01-2014-tt-bgddt-khung-nang-luc-ngoai-ngu-6-bac-viet-nam-220349.aspx" TargetMode="External"/><Relationship Id="rId1" Type="http://schemas.openxmlformats.org/officeDocument/2006/relationships/styles" Target="styles.xml"/><Relationship Id="rId6" Type="http://schemas.openxmlformats.org/officeDocument/2006/relationships/hyperlink" Target="https://thuvienphapluat.vn/van-ban/bo-may-hanh-chinh/nghi-dinh-32-2008-nd-cp-chuc-nang-nhiem-vu-quyen-han-co-cau-to-chuc-bo-giao-duc-dao-tao-64203.aspx" TargetMode="External"/><Relationship Id="rId11" Type="http://schemas.openxmlformats.org/officeDocument/2006/relationships/hyperlink" Target="https://thuvienphapluat.vn/van-ban/cong-nghe-thong-tin/thong-tu-03-2014-tt-btttt-chuan-ky-nang-su-dung-cong-nghe-thong-tin-223113.aspx" TargetMode="External"/><Relationship Id="rId5" Type="http://schemas.openxmlformats.org/officeDocument/2006/relationships/hyperlink" Target="https://thuvienphapluat.vn/van-ban/bo-may-hanh-chinh/nghi-dinh-29-2012-nd-cp-tuyen-dung-su-dung-va-quan-ly-vien-chuc-137919.aspx" TargetMode="External"/><Relationship Id="rId15" Type="http://schemas.openxmlformats.org/officeDocument/2006/relationships/hyperlink" Target="https://thuvienphapluat.vn/van-ban/giao-duc/thong-tu-01-2014-tt-bgddt-khung-nang-luc-ngoai-ngu-6-bac-viet-nam-220349.aspx" TargetMode="External"/><Relationship Id="rId10" Type="http://schemas.openxmlformats.org/officeDocument/2006/relationships/hyperlink" Target="https://thuvienphapluat.vn/van-ban/giao-duc/thong-tu-01-2014-tt-bgddt-khung-nang-luc-ngoai-ngu-6-bac-viet-nam-220349.aspx"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huvienphapluat.vn/van-ban/giao-duc/thong-tu-01-2014-tt-bgddt-khung-nang-luc-ngoai-ngu-6-bac-viet-nam-220349.aspx" TargetMode="External"/><Relationship Id="rId14" Type="http://schemas.openxmlformats.org/officeDocument/2006/relationships/hyperlink" Target="https://thuvienphapluat.vn/van-ban/cong-nghe-thong-tin/thong-tu-03-2014-tt-btttt-chuan-ky-nang-su-dung-cong-nghe-thong-tin-223113.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2431</Words>
  <Characters>13861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16260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2018-11-30T15:15:00Z</dcterms:created>
  <dcterms:modified xsi:type="dcterms:W3CDTF">2018-11-30T15:20:00Z</dcterms:modified>
</cp:coreProperties>
</file>